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</w:rPr>
        <w:t>Universit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t Hamburg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sz w:val="20"/>
          <w:szCs w:val="20"/>
          <w:rtl w:val="0"/>
        </w:rPr>
        <w:t>Fakult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en-US"/>
        </w:rPr>
        <w:t>t f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r Geisteswissenschaften / Fachbereich Geschichte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sz w:val="20"/>
          <w:szCs w:val="20"/>
          <w:rtl w:val="0"/>
          <w:lang w:val="de-DE"/>
        </w:rPr>
        <w:t>Arbeitsbereich Europ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ische Geschichte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sz w:val="20"/>
          <w:szCs w:val="20"/>
          <w:rtl w:val="0"/>
        </w:rPr>
        <w:t xml:space="preserve">54-237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bung NG: Die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langen 1970er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. Europ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 xml:space="preserve">ische Integration in der Krise? </w:t>
      </w: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Dozent: Richard Steinberg, M.A.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sz w:val="20"/>
          <w:szCs w:val="20"/>
          <w:rtl w:val="0"/>
          <w:lang w:val="de-DE"/>
        </w:rPr>
        <w:t>Wintersemester 2019/2020</w:t>
      </w:r>
    </w:p>
    <w:p>
      <w:pPr>
        <w:pStyle w:val="Text"/>
        <w:rPr>
          <w:sz w:val="20"/>
          <w:szCs w:val="20"/>
        </w:rPr>
      </w:pPr>
    </w:p>
    <w:p>
      <w:pPr>
        <w:pStyle w:val="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Abgabedatum: </w:t>
      </w:r>
      <w:r>
        <w:rPr>
          <w:sz w:val="20"/>
          <w:szCs w:val="20"/>
          <w:rtl w:val="0"/>
          <w:lang w:val="de-DE"/>
        </w:rPr>
        <w:t>17</w:t>
      </w:r>
      <w:r>
        <w:rPr>
          <w:sz w:val="20"/>
          <w:szCs w:val="20"/>
          <w:rtl w:val="0"/>
          <w:lang w:val="de-DE"/>
        </w:rPr>
        <w:t xml:space="preserve">. Dezember 2019 </w:t>
      </w:r>
    </w:p>
    <w:p>
      <w:pPr>
        <w:pStyle w:val="Text"/>
        <w:bidi w:val="0"/>
      </w:pPr>
    </w:p>
    <w:p>
      <w:pPr>
        <w:pStyle w:val="Text"/>
        <w:bidi w:val="0"/>
      </w:pPr>
      <w:r>
        <w:br w:type="textWrapping"/>
      </w:r>
      <w:commentRangeStart w:id="0"/>
    </w:p>
    <w:p>
      <w:pPr>
        <w:pStyle w:val="Standard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Eine Verschiebung der Machtverh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ltnisse im Institution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gef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ge der Europ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ischen Gemeinschaft durch die Gr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ndung des Europ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ischen Rates auf Initiative der Regierungschefs der Nationalstaaten im Jahr 1974?</w:t>
      </w:r>
    </w:p>
    <w:p>
      <w:pPr>
        <w:pStyle w:val="Standard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Standard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Fragestellung: Inwiefern 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sst sich die Gr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ndung des Europ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ischen Rates als Krisenmanagement betrachten, um die damalige schwierige Phase innerhalb der Europ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ischen Gemeinschaft zu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berwinden und die europ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ische Integration im Jahr 1974 nachhaltig fortzusetzen?</w:t>
      </w:r>
      <w:commentRangeEnd w:id="0"/>
      <w:r>
        <w:commentReference w:id="0"/>
      </w:r>
    </w:p>
    <w:p>
      <w:pPr>
        <w:pStyle w:val="Text"/>
        <w:spacing w:line="360" w:lineRule="auto"/>
        <w:rPr>
          <w:lang w:val="de-D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de-DE"/>
        </w:rPr>
        <w:t>Die Europ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ische Gemeinschaft befand sich seit dem Jahr 1973 in einer Krise, ausgel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st durch </w:t>
      </w:r>
      <w:r>
        <w:rPr>
          <w:rtl w:val="0"/>
          <w:lang w:val="de-DE"/>
        </w:rPr>
        <w:t>die</w:t>
      </w:r>
      <w:r>
        <w:rPr>
          <w:rtl w:val="0"/>
          <w:lang w:val="de-DE"/>
        </w:rPr>
        <w:t xml:space="preserve"> erste</w:t>
      </w:r>
      <w:r>
        <w:rPr>
          <w:rtl w:val="0"/>
          <w:lang w:val="de-DE"/>
        </w:rPr>
        <w:t xml:space="preserve"> Ö</w:t>
      </w:r>
      <w:r>
        <w:rPr>
          <w:rtl w:val="0"/>
          <w:lang w:val="de-DE"/>
        </w:rPr>
        <w:t>lkrise</w:t>
      </w:r>
      <w:r>
        <w:rPr>
          <w:rtl w:val="0"/>
          <w:lang w:val="de-DE"/>
        </w:rPr>
        <w:t xml:space="preserve">. Im Januar 1974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bernahm die Bundesrepublik die Ratspr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sidentschaft der Europ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ischen Gemeinschaft, sowohl in Deutschland als auch in Frankreich fanden damals Regierungswechsel statt. Der neu gew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hlte Bundeskanzler Schmidt betonte in seiner Regierungserkl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rung, dass das Ziel einer politischen europ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ischen </w:t>
      </w:r>
      <w:r>
        <w:rPr>
          <w:rtl w:val="0"/>
          <w:lang w:val="de-DE"/>
        </w:rPr>
        <w:t>Gemeinschaft</w:t>
      </w:r>
      <w:r>
        <w:rPr>
          <w:rtl w:val="0"/>
          <w:lang w:val="de-DE"/>
        </w:rPr>
        <w:t xml:space="preserve"> dringender als je zuvor sei. Kurze Zeit darauf wurde auf Initiative Helmut Schmidts und </w:t>
      </w:r>
      <w:r>
        <w:rPr>
          <w:rtl w:val="0"/>
          <w:lang w:val="es-ES_tradnl"/>
        </w:rPr>
        <w:t>Vale</w:t>
      </w:r>
      <w:r>
        <w:rPr>
          <w:rtl w:val="0"/>
          <w:lang w:val="de-DE"/>
        </w:rPr>
        <w:t>́</w:t>
      </w:r>
      <w:r>
        <w:rPr>
          <w:rtl w:val="0"/>
          <w:lang w:val="it-IT"/>
        </w:rPr>
        <w:t>ry Giscard d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Estaings ein Gremium der Staats- und Regierungschefs ins Leben gerufen. Zu fragen ist in diesem Kontext, ob durch diesen Schritt lediglich die Handlungsm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glichkeiten der Nationalstaaten innerhalb Europa gest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rkt und erweitert werden sollten oder ob die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ndung des Europ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ischen Rates als Motor der europ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ischen Integration und als 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rkung der Rolle der Europ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ischen Kommission und des Parlaments innerhalb der Europ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ischen Gemeinschaft verstanden werden kann. Diese Fragestellungen sollen im Fokus de</w:t>
      </w:r>
      <w:r>
        <w:rPr>
          <w:rtl w:val="0"/>
          <w:lang w:val="de-DE"/>
        </w:rPr>
        <w:t xml:space="preserve">s Essays </w:t>
      </w:r>
      <w:r>
        <w:rPr>
          <w:rtl w:val="0"/>
          <w:lang w:val="de-DE"/>
        </w:rPr>
        <w:t>liegen.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  <w:lang w:val="de-DE"/>
        </w:rPr>
        <w:t xml:space="preserve">Die Begriffe </w:t>
      </w:r>
      <w:r>
        <w:rPr>
          <w:rtl w:val="0"/>
        </w:rPr>
        <w:t>„</w:t>
      </w:r>
      <w:r>
        <w:rPr>
          <w:rtl w:val="0"/>
          <w:lang w:val="fr-FR"/>
        </w:rPr>
        <w:t>Intergouvernementalismus</w:t>
      </w:r>
      <w:r>
        <w:rPr>
          <w:rtl w:val="0"/>
        </w:rPr>
        <w:t>“</w:t>
      </w:r>
      <w:r>
        <w:rPr>
          <w:rtl w:val="0"/>
        </w:rPr>
        <w:t xml:space="preserve">, </w:t>
      </w:r>
      <w:r>
        <w:rPr>
          <w:rtl w:val="0"/>
        </w:rPr>
        <w:t>„</w:t>
      </w: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deralismus</w:t>
      </w:r>
      <w:r>
        <w:rPr>
          <w:rtl w:val="0"/>
        </w:rPr>
        <w:t xml:space="preserve">“ </w:t>
      </w:r>
      <w:r>
        <w:rPr>
          <w:rtl w:val="0"/>
          <w:lang w:val="de-DE"/>
        </w:rPr>
        <w:t xml:space="preserve">und </w:t>
      </w:r>
      <w:r>
        <w:rPr>
          <w:rtl w:val="0"/>
        </w:rPr>
        <w:t>„</w:t>
      </w:r>
      <w:r>
        <w:rPr>
          <w:rtl w:val="0"/>
          <w:lang w:val="fr-FR"/>
        </w:rPr>
        <w:t>Suprantionalit</w:t>
      </w:r>
      <w:r>
        <w:rPr>
          <w:rtl w:val="0"/>
        </w:rPr>
        <w:t>ä</w:t>
      </w:r>
      <w:r>
        <w:rPr>
          <w:rtl w:val="0"/>
        </w:rPr>
        <w:t>t</w:t>
      </w:r>
      <w:r>
        <w:rPr>
          <w:rtl w:val="0"/>
        </w:rPr>
        <w:t xml:space="preserve">“ </w:t>
      </w:r>
      <w:r>
        <w:rPr>
          <w:rtl w:val="0"/>
          <w:lang w:val="de-DE"/>
        </w:rPr>
        <w:t xml:space="preserve">werden dabei im Fokus der Betrachtungen stehen.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701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All wurde historisiert nicht nur mit einer Fülle neuer Ideen und Einsichten, sondern auch mit großer Darstellungskunst." w:date="2019-12-17T21:22:55Z">
    <w:p w14:paraId="1111FFFF">
      <w:pPr>
        <w:pStyle w:val="Standard"/>
        <w:bidi w:val="0"/>
      </w:pPr>
    </w:p>
    <w:p w14:paraId="11120000">
      <w:pPr>
        <w:pStyle w:val="Standard"/>
        <w:bidi w:val="0"/>
      </w:pPr>
      <w:r>
        <w:rPr>
          <w:rFonts w:cs="Arial Unicode MS" w:eastAsia="Arial Unicode MS"/>
          <w:rtl w:val="0"/>
        </w:rPr>
        <w:t>Die Gr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</w:rPr>
        <w:t>ndung des Europ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</w:rPr>
        <w:t xml:space="preserve">ischen Rates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Krisenmanager und Impulsgeber der europ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</w:rPr>
        <w:t>ischen Integration oder Marionette der Nationalstaaten der im Institutionengef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</w:rPr>
        <w:t>ge der Europ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</w:rPr>
        <w:t>ischen Gemeinschaft?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